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6"/>
        <w:spacing w:before="3600" w:after="960"/>
      </w:pPr>
      <w:r>
        <w:t xml:space="preserve">Программ</w:t>
      </w:r>
      <w:r>
        <w:t xml:space="preserve">а</w:t>
      </w:r>
      <w:r>
        <w:t xml:space="preserve"> для ЭВМ </w:t>
      </w:r>
      <w:r>
        <w:t xml:space="preserve">«</w:t>
      </w:r>
      <w:r>
        <w:t xml:space="preserve">Tenders</w:t>
      </w:r>
      <w:r>
        <w:t xml:space="preserve">»</w:t>
      </w:r>
      <w:r/>
    </w:p>
    <w:p>
      <w:pPr>
        <w:pStyle w:val="716"/>
        <w:rPr>
          <w:rFonts w:cs="Times New Roman"/>
        </w:rPr>
      </w:pPr>
      <w:r>
        <w:rPr>
          <w:rFonts w:cs="Times New Roman"/>
        </w:rPr>
        <w:t xml:space="preserve">Описание функциональных характеристик программного обеспечения и информации, необходимой для установки и эксплуатации программного обеспечения</w:t>
      </w:r>
      <w:r>
        <w:rPr>
          <w:rFonts w:cs="Times New Roman"/>
        </w:rPr>
      </w:r>
    </w:p>
    <w:p>
      <w:pPr>
        <w:pStyle w:val="711"/>
        <w:rPr>
          <w:rFonts w:cs="Times New Roman"/>
        </w:rPr>
      </w:pPr>
      <w:r>
        <w:rPr>
          <w:rFonts w:cs="Times New Roman"/>
        </w:rPr>
        <w:t xml:space="preserve">Содержание</w:t>
      </w:r>
      <w:r>
        <w:rPr>
          <w:rFonts w:cs="Times New Roman"/>
        </w:rPr>
      </w:r>
    </w:p>
    <w:sdt>
      <w:sdtPr>
        <w15:appearance w15:val="boundingBox"/>
        <w:id w:val="1540249390"/>
        <w:docPartObj>
          <w:docPartGallery w:val="Table of Contents"/>
          <w:docPartUnique w:val="true"/>
        </w:docPartObj>
        <w:rPr>
          <w:rFonts w:ascii="Times New Roman" w:hAnsi="Times New Roman" w:eastAsiaTheme="minorHAnsi" w:cstheme="minorBidi"/>
          <w:color w:val="auto"/>
          <w:sz w:val="24"/>
          <w:szCs w:val="22"/>
          <w:lang w:eastAsia="en-US"/>
        </w:rPr>
      </w:sdtPr>
      <w:sdtContent>
        <w:p>
          <w:pPr>
            <w:pStyle w:val="721"/>
          </w:pPr>
          <w:r>
            <w:t xml:space="preserve">Оглавление</w:t>
          </w:r>
          <w:r/>
        </w:p>
        <w:p>
          <w:pPr>
            <w:pStyle w:val="715"/>
            <w:rPr>
              <w:rFonts w:asciiTheme="minorHAnsi" w:hAnsiTheme="minorHAnsi" w:eastAsiaTheme="minorEastAsia"/>
              <w:szCs w:val="24"/>
              <w:lang w:eastAsia="ru-RU"/>
            </w:rPr>
          </w:pPr>
          <w:r/>
          <w:bookmarkStart w:id="0" w:name="_GoBack"/>
          <w:r/>
          <w:bookmarkEnd w:id="0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#_Toc194048964" w:anchor="_Toc194048964" w:history="1">
            <w:r>
              <w:rPr>
                <w:rStyle w:val="717"/>
              </w:rPr>
              <w:t xml:space="preserve">1</w:t>
            </w:r>
            <w:r>
              <w:rPr>
                <w:rFonts w:asciiTheme="minorHAnsi" w:hAnsiTheme="minorHAnsi" w:eastAsiaTheme="minorEastAsia"/>
                <w:szCs w:val="24"/>
                <w:lang w:eastAsia="ru-RU"/>
              </w:rPr>
              <w:tab/>
            </w:r>
            <w:r>
              <w:rPr>
                <w:rStyle w:val="717"/>
              </w:rPr>
              <w:t xml:space="preserve">Общие сведения</w:t>
            </w:r>
            <w:r>
              <w:tab/>
            </w:r>
            <w:r>
              <w:fldChar w:fldCharType="begin"/>
            </w:r>
            <w:r>
              <w:instrText xml:space="preserve"> PAGEREF _Toc194048964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/>
              <w:szCs w:val="24"/>
              <w:lang w:eastAsia="ru-RU"/>
            </w:rPr>
          </w:r>
        </w:p>
        <w:p>
          <w:pPr>
            <w:pStyle w:val="715"/>
            <w:rPr>
              <w:rFonts w:asciiTheme="minorHAnsi" w:hAnsiTheme="minorHAnsi" w:eastAsiaTheme="minorEastAsia"/>
              <w:szCs w:val="24"/>
              <w:lang w:eastAsia="ru-RU"/>
            </w:rPr>
          </w:pPr>
          <w:r/>
          <w:hyperlink w:tooltip="#_Toc194048965" w:anchor="_Toc194048965" w:history="1">
            <w:r>
              <w:rPr>
                <w:rStyle w:val="717"/>
              </w:rPr>
              <w:t xml:space="preserve">2</w:t>
            </w:r>
            <w:r>
              <w:rPr>
                <w:rFonts w:asciiTheme="minorHAnsi" w:hAnsiTheme="minorHAnsi" w:eastAsiaTheme="minorEastAsia"/>
                <w:szCs w:val="24"/>
                <w:lang w:eastAsia="ru-RU"/>
              </w:rPr>
              <w:tab/>
            </w:r>
            <w:r>
              <w:rPr>
                <w:rStyle w:val="717"/>
              </w:rPr>
              <w:t xml:space="preserve">Функциональные возможности</w:t>
            </w:r>
            <w:r>
              <w:tab/>
            </w:r>
            <w:r>
              <w:fldChar w:fldCharType="begin"/>
            </w:r>
            <w:r>
              <w:instrText xml:space="preserve"> PAGEREF _Toc194048965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/>
              <w:szCs w:val="24"/>
              <w:lang w:eastAsia="ru-RU"/>
            </w:rPr>
          </w:r>
        </w:p>
        <w:p>
          <w:pPr>
            <w:pStyle w:val="714"/>
            <w:tabs>
              <w:tab w:val="left" w:pos="960" w:leader="none"/>
              <w:tab w:val="right" w:pos="9345" w:leader="dot"/>
            </w:tabs>
            <w:rPr>
              <w:rFonts w:asciiTheme="minorHAnsi" w:hAnsiTheme="minorHAnsi" w:eastAsiaTheme="minorEastAsia"/>
              <w:szCs w:val="24"/>
              <w:lang w:eastAsia="ru-RU"/>
            </w:rPr>
          </w:pPr>
          <w:r/>
          <w:hyperlink w:tooltip="#_Toc194048966" w:anchor="_Toc194048966" w:history="1">
            <w:r>
              <w:rPr>
                <w:rStyle w:val="717"/>
              </w:rPr>
              <w:t xml:space="preserve">2.1</w:t>
            </w:r>
            <w:r>
              <w:rPr>
                <w:rFonts w:asciiTheme="minorHAnsi" w:hAnsiTheme="minorHAnsi" w:eastAsiaTheme="minorEastAsia"/>
                <w:szCs w:val="24"/>
                <w:lang w:eastAsia="ru-RU"/>
              </w:rPr>
              <w:tab/>
            </w:r>
            <w:r>
              <w:rPr>
                <w:rStyle w:val="717"/>
              </w:rPr>
              <w:t xml:space="preserve">Закупки</w:t>
            </w:r>
            <w:r>
              <w:tab/>
            </w:r>
            <w:r>
              <w:fldChar w:fldCharType="begin"/>
            </w:r>
            <w:r>
              <w:instrText xml:space="preserve"> PAGEREF _Toc194048966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/>
              <w:szCs w:val="24"/>
              <w:lang w:eastAsia="ru-RU"/>
            </w:rPr>
          </w:r>
        </w:p>
        <w:p>
          <w:pPr>
            <w:pStyle w:val="713"/>
            <w:rPr>
              <w:rFonts w:asciiTheme="minorHAnsi" w:hAnsiTheme="minorHAnsi" w:eastAsiaTheme="minorEastAsia" w:cstheme="minorBidi"/>
              <w:color w:val="auto"/>
              <w:szCs w:val="24"/>
              <w:lang w:eastAsia="ru-RU"/>
            </w:rPr>
          </w:pPr>
          <w:r/>
          <w:hyperlink w:tooltip="#_Toc194048967" w:anchor="_Toc194048967" w:history="1">
            <w:r>
              <w:rPr>
                <w:rStyle w:val="717"/>
              </w:rPr>
              <w:t xml:space="preserve">2.1.1</w:t>
            </w:r>
            <w:r>
              <w:rPr>
                <w:rFonts w:asciiTheme="minorHAnsi" w:hAnsiTheme="minorHAnsi" w:eastAsiaTheme="minorEastAsia" w:cstheme="minorBidi"/>
                <w:color w:val="auto"/>
                <w:szCs w:val="24"/>
                <w:lang w:eastAsia="ru-RU"/>
              </w:rPr>
              <w:tab/>
            </w:r>
            <w:r>
              <w:rPr>
                <w:rStyle w:val="717"/>
              </w:rPr>
              <w:t xml:space="preserve">Карточка раздела «Закупки»</w:t>
            </w:r>
            <w:r>
              <w:tab/>
            </w:r>
            <w:r>
              <w:fldChar w:fldCharType="begin"/>
            </w:r>
            <w:r>
              <w:instrText xml:space="preserve"> PAGEREF _Toc194048967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color w:val="auto"/>
              <w:szCs w:val="24"/>
              <w:lang w:eastAsia="ru-RU"/>
            </w:rPr>
          </w:r>
        </w:p>
        <w:p>
          <w:r>
            <w:rPr>
              <w:b/>
              <w:bCs/>
            </w:rPr>
            <w:fldChar w:fldCharType="end"/>
          </w:r>
          <w:r/>
        </w:p>
      </w:sdtContent>
    </w:sdt>
    <w:p>
      <w:pPr>
        <w:ind w:firstLine="0"/>
      </w:pPr>
      <w:r/>
      <w:r/>
    </w:p>
    <w:p>
      <w:pPr>
        <w:pStyle w:val="710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710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96"/>
      </w:pPr>
      <w:r/>
      <w:bookmarkStart w:id="1" w:name="_Общие_сведения"/>
      <w:r/>
      <w:bookmarkStart w:id="2" w:name="_Toc57275716"/>
      <w:r/>
      <w:bookmarkStart w:id="3" w:name="_Toc70453688"/>
      <w:r/>
      <w:bookmarkStart w:id="4" w:name="_Toc194048964"/>
      <w:r/>
      <w:bookmarkEnd w:id="1"/>
      <w:r>
        <w:t xml:space="preserve">Общие сведения</w:t>
      </w:r>
      <w:bookmarkEnd w:id="2"/>
      <w:r/>
      <w:bookmarkEnd w:id="3"/>
      <w:r/>
      <w:bookmarkEnd w:id="4"/>
      <w:r/>
      <w:r/>
    </w:p>
    <w:p>
      <w:pPr>
        <w:pStyle w:val="710"/>
        <w:rPr>
          <w:rFonts w:cs="Times New Roman"/>
          <w:lang w:val="en-US" w:eastAsia="ru-RU"/>
        </w:rPr>
      </w:pPr>
      <w:r/>
      <w:bookmarkStart w:id="5" w:name="_Hlk115869414"/>
      <w:r/>
      <w:bookmarkStart w:id="6" w:name="_Toc57275717"/>
      <w:r/>
      <w:bookmarkStart w:id="7" w:name="_Toc70453689"/>
      <w:r>
        <w:rPr>
          <w:rFonts w:cs="Times New Roman"/>
          <w:lang w:eastAsia="ru-RU"/>
        </w:rPr>
        <w:t xml:space="preserve">Программа предназначена для:</w:t>
      </w:r>
      <w:r>
        <w:rPr>
          <w:rFonts w:cs="Times New Roman"/>
          <w:lang w:val="en-US" w:eastAsia="ru-RU"/>
        </w:rPr>
      </w:r>
    </w:p>
    <w:p>
      <w:pPr>
        <w:pStyle w:val="712"/>
      </w:pPr>
      <w:r>
        <w:t xml:space="preserve">Поиск и просмотр агрегированной информации по закупкам с открытых источников</w:t>
      </w:r>
      <w:r>
        <w:rPr>
          <w:lang w:eastAsia="ru-RU"/>
        </w:rPr>
        <w:t xml:space="preserve">;</w:t>
      </w:r>
      <w:r/>
    </w:p>
    <w:p>
      <w:pPr>
        <w:pStyle w:val="712"/>
      </w:pPr>
      <w:r>
        <w:t xml:space="preserve">Анализ данных по закупкам, найденным с помощью заданных фильтров</w:t>
      </w:r>
      <w:r>
        <w:t xml:space="preserve">.</w:t>
      </w:r>
      <w:r/>
    </w:p>
    <w:p>
      <w:pPr>
        <w:pStyle w:val="696"/>
      </w:pPr>
      <w:r/>
      <w:bookmarkStart w:id="8" w:name="_Toc194048965"/>
      <w:r/>
      <w:bookmarkEnd w:id="5"/>
      <w:r>
        <w:t xml:space="preserve">Функциональные возможности</w:t>
      </w:r>
      <w:bookmarkEnd w:id="6"/>
      <w:r/>
      <w:bookmarkEnd w:id="7"/>
      <w:r/>
      <w:bookmarkEnd w:id="8"/>
      <w:r/>
      <w:r/>
    </w:p>
    <w:p>
      <w:pPr>
        <w:pStyle w:val="710"/>
        <w:rPr>
          <w:rFonts w:cs="Times New Roman"/>
        </w:rPr>
      </w:pPr>
      <w:r>
        <w:rPr>
          <w:rFonts w:cs="Times New Roman"/>
        </w:rPr>
        <w:t xml:space="preserve">Программа</w:t>
      </w:r>
      <w:r>
        <w:rPr>
          <w:rFonts w:cs="Times New Roman"/>
        </w:rPr>
        <w:t xml:space="preserve"> состоит из следующих функциональных разделов:</w:t>
      </w:r>
      <w:r>
        <w:rPr>
          <w:rFonts w:cs="Times New Roman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  <w:b/>
        </w:rPr>
        <w:t xml:space="preserve">Закупки</w:t>
      </w:r>
      <w:r>
        <w:rPr>
          <w:rFonts w:cs="Times New Roman"/>
        </w:rPr>
        <w:t xml:space="preserve">. </w:t>
      </w:r>
      <w:r>
        <w:rPr>
          <w:rFonts w:cs="Times New Roman"/>
        </w:rPr>
        <w:t xml:space="preserve">Реестр</w:t>
      </w:r>
      <w:r>
        <w:rPr>
          <w:rFonts w:cs="Times New Roman"/>
        </w:rPr>
        <w:t xml:space="preserve">,</w:t>
      </w:r>
      <w:r>
        <w:rPr>
          <w:rFonts w:cs="Times New Roman"/>
        </w:rPr>
        <w:t xml:space="preserve"> содержащий в себе </w:t>
      </w:r>
      <w:r>
        <w:rPr>
          <w:rFonts w:cs="Times New Roman"/>
        </w:rPr>
        <w:t xml:space="preserve">закупки, запросы цен, план-графики</w:t>
      </w:r>
      <w:r>
        <w:rPr>
          <w:rFonts w:cs="Times New Roman"/>
        </w:rPr>
        <w:t xml:space="preserve">, разделенный по типам закупок.</w:t>
      </w:r>
      <w:r>
        <w:rPr>
          <w:rFonts w:cs="Times New Roman"/>
        </w:rPr>
      </w:r>
    </w:p>
    <w:p>
      <w:pPr>
        <w:pStyle w:val="697"/>
      </w:pPr>
      <w:r/>
      <w:bookmarkStart w:id="9" w:name="_Toc194048966"/>
      <w:r>
        <w:t xml:space="preserve">Закупки</w:t>
      </w:r>
      <w:bookmarkEnd w:id="9"/>
      <w:r/>
      <w:r/>
    </w:p>
    <w:p>
      <w:pPr>
        <w:ind w:firstLine="567"/>
        <w:rPr>
          <w:color w:val="000000"/>
        </w:rPr>
      </w:pPr>
      <w:r>
        <w:rPr>
          <w:color w:val="000000"/>
        </w:rPr>
        <w:t xml:space="preserve">Данный раздел носит в себе функцию отображения </w:t>
      </w:r>
      <w:r>
        <w:rPr>
          <w:color w:val="000000"/>
        </w:rPr>
        <w:t xml:space="preserve">все</w:t>
      </w:r>
      <w:r>
        <w:rPr>
          <w:color w:val="000000"/>
        </w:rPr>
        <w:t xml:space="preserve">х</w:t>
      </w:r>
      <w:r>
        <w:rPr>
          <w:color w:val="000000"/>
        </w:rPr>
        <w:t xml:space="preserve"> </w:t>
      </w:r>
      <w:r>
        <w:rPr>
          <w:color w:val="000000"/>
        </w:rPr>
        <w:t xml:space="preserve">закупок, план-графиков, запросов цен и реализации имущества</w:t>
      </w:r>
      <w:r>
        <w:rPr>
          <w:color w:val="000000"/>
        </w:rPr>
        <w:t xml:space="preserve">, </w:t>
      </w:r>
      <w:r>
        <w:rPr>
          <w:color w:val="000000"/>
        </w:rPr>
        <w:t xml:space="preserve">на основании заданных критериев фильтрации.</w:t>
      </w:r>
      <w:r>
        <w:rPr>
          <w:color w:val="000000"/>
        </w:rPr>
      </w:r>
    </w:p>
    <w:p>
      <w:pPr>
        <w:ind w:firstLine="567"/>
        <w:rPr>
          <w:color w:val="000000"/>
        </w:rPr>
      </w:pPr>
      <w:r>
        <w:rPr>
          <w:color w:val="000000"/>
        </w:rPr>
        <w:t xml:space="preserve">Записи разделены по типу сущности и выводятся в виде таблицы с возможностью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</w:rPr>
        <w:t xml:space="preserve">О</w:t>
      </w:r>
      <w:r>
        <w:rPr>
          <w:rFonts w:cs="Times New Roman"/>
        </w:rPr>
        <w:t xml:space="preserve">тфильтровать</w:t>
      </w:r>
      <w:r>
        <w:rPr>
          <w:rFonts w:cs="Times New Roman"/>
        </w:rPr>
        <w:t xml:space="preserve">;</w:t>
      </w:r>
      <w:r>
        <w:rPr>
          <w:rFonts w:cs="Times New Roman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</w:rPr>
        <w:t xml:space="preserve">С</w:t>
      </w:r>
      <w:r>
        <w:rPr>
          <w:rFonts w:cs="Times New Roman"/>
        </w:rPr>
        <w:t xml:space="preserve">охранить фильтр</w:t>
      </w:r>
      <w:r>
        <w:rPr>
          <w:rFonts w:cs="Times New Roman"/>
        </w:rPr>
        <w:t xml:space="preserve">;</w:t>
      </w:r>
      <w:r>
        <w:rPr>
          <w:rFonts w:cs="Times New Roman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</w:rPr>
        <w:t xml:space="preserve">Э</w:t>
      </w:r>
      <w:r>
        <w:rPr>
          <w:rFonts w:cs="Times New Roman"/>
        </w:rPr>
        <w:t xml:space="preserve">кспортировать выборку в документ.</w:t>
      </w:r>
      <w:r>
        <w:rPr>
          <w:rFonts w:cs="Times New Roman"/>
        </w:rPr>
      </w:r>
    </w:p>
    <w:p>
      <w:pPr>
        <w:ind w:firstLine="567"/>
        <w:rPr>
          <w:color w:val="000000"/>
        </w:rPr>
      </w:pPr>
      <w:r>
        <w:rPr>
          <w:color w:val="000000"/>
        </w:rPr>
        <w:t xml:space="preserve">Для отдельных записей доступно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</w:rPr>
        <w:t xml:space="preserve">Д</w:t>
      </w:r>
      <w:r>
        <w:rPr>
          <w:rFonts w:cs="Times New Roman"/>
        </w:rPr>
        <w:t xml:space="preserve">обавление в избранно</w:t>
      </w:r>
      <w:r>
        <w:rPr>
          <w:rFonts w:cs="Times New Roman"/>
        </w:rPr>
        <w:t xml:space="preserve">е;</w:t>
      </w:r>
      <w:r>
        <w:rPr>
          <w:rFonts w:cs="Times New Roman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</w:rPr>
        <w:t xml:space="preserve">О</w:t>
      </w:r>
      <w:r>
        <w:rPr>
          <w:rFonts w:cs="Times New Roman"/>
        </w:rPr>
        <w:t xml:space="preserve">тметка цветом</w:t>
      </w:r>
      <w:r>
        <w:rPr>
          <w:rFonts w:cs="Times New Roman"/>
        </w:rPr>
        <w:t xml:space="preserve">;</w:t>
      </w:r>
      <w:r>
        <w:rPr>
          <w:rFonts w:cs="Times New Roman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</w:rPr>
        <w:t xml:space="preserve">О</w:t>
      </w:r>
      <w:r>
        <w:rPr>
          <w:rFonts w:cs="Times New Roman"/>
        </w:rPr>
        <w:t xml:space="preserve">тметка о просмотренном</w:t>
      </w:r>
      <w:r>
        <w:rPr>
          <w:rFonts w:cs="Times New Roman"/>
        </w:rPr>
        <w:t xml:space="preserve">;</w:t>
      </w:r>
      <w:r>
        <w:rPr>
          <w:rFonts w:cs="Times New Roman"/>
        </w:rPr>
      </w:r>
    </w:p>
    <w:p>
      <w:pPr>
        <w:pStyle w:val="712"/>
        <w:ind w:left="0" w:firstLine="709"/>
        <w:rPr>
          <w:rFonts w:cs="Times New Roman"/>
        </w:rPr>
      </w:pPr>
      <w:r>
        <w:rPr>
          <w:rFonts w:cs="Times New Roman"/>
        </w:rPr>
        <w:t xml:space="preserve">Д</w:t>
      </w:r>
      <w:r>
        <w:rPr>
          <w:rFonts w:cs="Times New Roman"/>
        </w:rPr>
        <w:t xml:space="preserve">обавление комментария.</w:t>
      </w:r>
      <w:r>
        <w:rPr>
          <w:rFonts w:cs="Times New Roman"/>
        </w:rPr>
      </w:r>
    </w:p>
    <w:p>
      <w:pPr>
        <w:ind w:firstLine="567"/>
        <w:rPr>
          <w:color w:val="000000"/>
        </w:rPr>
      </w:pPr>
      <w:r>
        <w:rPr>
          <w:color w:val="000000"/>
        </w:rPr>
        <w:t xml:space="preserve">Для просмотра подробных сведений осуществляется переход в карточку по двойному клику на строку таблицы.</w:t>
      </w:r>
      <w:r>
        <w:rPr>
          <w:color w:val="000000"/>
        </w:rPr>
      </w:r>
    </w:p>
    <w:p>
      <w:pPr>
        <w:pStyle w:val="720"/>
        <w:ind w:firstLine="14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886710"/>
                <wp:effectExtent l="0" t="0" r="317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Снимок экрана 2025-03-28 в 10.06.48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2886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27.3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t xml:space="preserve"> </w:t>
      </w:r>
      <w:r>
        <w:br/>
        <w:t xml:space="preserve">Рисунок 1 – список государственных закупок</w:t>
      </w:r>
      <w:r/>
    </w:p>
    <w:p>
      <w:pPr>
        <w:pStyle w:val="698"/>
      </w:pPr>
      <w:r/>
      <w:bookmarkStart w:id="10" w:name="_Toc194048967"/>
      <w:r>
        <w:t xml:space="preserve">Карточка</w:t>
      </w:r>
      <w:r>
        <w:t xml:space="preserve"> </w:t>
      </w:r>
      <w:r>
        <w:t xml:space="preserve">раздела «Закупки»</w:t>
      </w:r>
      <w:bookmarkEnd w:id="10"/>
      <w:r/>
      <w:r/>
    </w:p>
    <w:p>
      <w:pPr>
        <w:pStyle w:val="720"/>
        <w:ind w:firstLine="567"/>
      </w:pPr>
      <w:r>
        <w:t xml:space="preserve">Карточка </w:t>
      </w:r>
      <w:r>
        <w:t xml:space="preserve">– </w:t>
      </w:r>
      <w:r>
        <w:t xml:space="preserve">сущность в системе, которая содержит подробную информацию о </w:t>
      </w:r>
      <w:r>
        <w:t xml:space="preserve">записи</w:t>
      </w:r>
      <w:r>
        <w:t xml:space="preserve"> и позволяет пользователю оценить актуальность участия в ней.</w:t>
      </w:r>
      <w:r/>
    </w:p>
    <w:p>
      <w:pPr>
        <w:pStyle w:val="720"/>
        <w:ind w:firstLine="567"/>
      </w:pPr>
      <w:r>
        <w:t xml:space="preserve">Карточка открывается в отдельной вкладке страницы веб</w:t>
      </w:r>
      <w:r>
        <w:t xml:space="preserve">-</w:t>
      </w:r>
      <w:r>
        <w:t xml:space="preserve">продукта.</w:t>
      </w:r>
      <w:r/>
    </w:p>
    <w:p>
      <w:pPr>
        <w:pStyle w:val="720"/>
        <w:ind w:firstLine="567"/>
      </w:pPr>
      <w:r>
        <w:t xml:space="preserve">Состав и полнота данных в карточке зависит от типа закупки и его источника информации.</w:t>
      </w:r>
      <w:r/>
    </w:p>
    <w:p>
      <w:pPr>
        <w:pStyle w:val="720"/>
        <w:ind w:firstLine="567"/>
      </w:pPr>
      <w:r>
        <w:t xml:space="preserve">Например, в карточке государственной закупки по 44ФЗ содержатся:</w:t>
      </w:r>
      <w:r/>
    </w:p>
    <w:p>
      <w:pPr>
        <w:pStyle w:val="709"/>
        <w:numPr>
          <w:ilvl w:val="0"/>
          <w:numId w:val="7"/>
        </w:numPr>
      </w:pPr>
      <w:r>
        <w:t xml:space="preserve">Общие сведения – информация об организаторе и порядке размещения заказа;</w:t>
      </w:r>
      <w:r/>
    </w:p>
    <w:p>
      <w:pPr>
        <w:pStyle w:val="709"/>
        <w:numPr>
          <w:ilvl w:val="0"/>
          <w:numId w:val="7"/>
        </w:numPr>
      </w:pPr>
      <w:r>
        <w:t xml:space="preserve">Лоты – список лотов закупки с информацией о заказчиках и товарах;</w:t>
      </w:r>
      <w:r/>
    </w:p>
    <w:p>
      <w:pPr>
        <w:pStyle w:val="709"/>
        <w:numPr>
          <w:ilvl w:val="0"/>
          <w:numId w:val="7"/>
        </w:numPr>
      </w:pPr>
      <w:r>
        <w:t xml:space="preserve">Итоги закупки – информация из протоколов, проектов контракта и контрактов;</w:t>
      </w:r>
      <w:r/>
    </w:p>
    <w:p>
      <w:pPr>
        <w:pStyle w:val="709"/>
        <w:numPr>
          <w:ilvl w:val="0"/>
          <w:numId w:val="7"/>
        </w:numPr>
      </w:pPr>
      <w:r>
        <w:t xml:space="preserve">Документы – документы закупки с источника.</w:t>
      </w:r>
      <w:r/>
    </w:p>
    <w:p>
      <w:pPr>
        <w:pStyle w:val="72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03220"/>
                <wp:effectExtent l="0" t="0" r="3175" b="508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Снимок экрана 2025-03-28 в 10.07.10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290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228.6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t xml:space="preserve">  </w:t>
      </w:r>
      <w:r/>
    </w:p>
    <w:p>
      <w:pPr>
        <w:pStyle w:val="720"/>
        <w:jc w:val="center"/>
      </w:pPr>
      <w:r>
        <w:t xml:space="preserve">Рисунок </w:t>
      </w:r>
      <w:r>
        <w:t xml:space="preserve">2</w:t>
      </w:r>
      <w:r>
        <w:t xml:space="preserve"> – </w:t>
      </w:r>
      <w:r>
        <w:t xml:space="preserve">карточка государственной закупки</w:t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24555890"/>
      <w:docPartObj>
        <w:docPartGallery w:val="Page Numbers (Top of Page)"/>
        <w:docPartUnique w:val="true"/>
      </w:docPartObj>
      <w:rPr/>
    </w:sdtPr>
    <w:sdtContent>
      <w:p>
        <w:pPr>
          <w:pStyle w:val="718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pStyle w:val="712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tab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697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698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699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700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04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1"/>
    <w:link w:val="69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1"/>
    <w:link w:val="69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1"/>
    <w:link w:val="69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1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1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1"/>
    <w:link w:val="718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1"/>
    <w:uiPriority w:val="99"/>
    <w:semiHidden/>
    <w:unhideWhenUsed/>
    <w:rPr>
      <w:vertAlign w:val="superscript"/>
    </w:r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pPr>
      <w:ind w:firstLine="709"/>
      <w:jc w:val="both"/>
      <w:spacing w:line="360" w:lineRule="auto"/>
    </w:pPr>
    <w:rPr>
      <w:rFonts w:ascii="Times New Roman" w:hAnsi="Times New Roman"/>
      <w:szCs w:val="22"/>
    </w:rPr>
  </w:style>
  <w:style w:type="paragraph" w:styleId="696">
    <w:name w:val="Heading 1"/>
    <w:basedOn w:val="695"/>
    <w:next w:val="695"/>
    <w:link w:val="704"/>
    <w:uiPriority w:val="9"/>
    <w:qFormat/>
    <w:pPr>
      <w:numPr>
        <w:ilvl w:val="0"/>
        <w:numId w:val="2"/>
      </w:numPr>
      <w:keepLines/>
      <w:keepNext/>
      <w:pageBreakBefore/>
      <w:spacing w:before="120" w:after="120"/>
      <w:tabs>
        <w:tab w:val="left" w:pos="1134" w:leader="none"/>
      </w:tabs>
      <w:outlineLvl w:val="0"/>
    </w:pPr>
    <w:rPr>
      <w:rFonts w:cs="Times New Roman" w:eastAsiaTheme="majorEastAsia"/>
      <w:b/>
      <w:bCs/>
      <w:szCs w:val="24"/>
    </w:rPr>
  </w:style>
  <w:style w:type="paragraph" w:styleId="697">
    <w:name w:val="Heading 2"/>
    <w:basedOn w:val="709"/>
    <w:next w:val="695"/>
    <w:link w:val="705"/>
    <w:uiPriority w:val="9"/>
    <w:unhideWhenUsed/>
    <w:qFormat/>
    <w:pPr>
      <w:numPr>
        <w:ilvl w:val="1"/>
        <w:numId w:val="2"/>
      </w:numPr>
      <w:spacing w:before="120" w:after="120"/>
      <w:outlineLvl w:val="1"/>
    </w:pPr>
    <w:rPr>
      <w:b/>
    </w:rPr>
  </w:style>
  <w:style w:type="paragraph" w:styleId="698">
    <w:name w:val="Heading 3"/>
    <w:basedOn w:val="709"/>
    <w:next w:val="695"/>
    <w:link w:val="706"/>
    <w:uiPriority w:val="9"/>
    <w:unhideWhenUsed/>
    <w:qFormat/>
    <w:pPr>
      <w:numPr>
        <w:ilvl w:val="2"/>
        <w:numId w:val="2"/>
      </w:numPr>
      <w:spacing w:before="120" w:after="120"/>
      <w:outlineLvl w:val="2"/>
    </w:pPr>
    <w:rPr>
      <w:b/>
    </w:rPr>
  </w:style>
  <w:style w:type="paragraph" w:styleId="699">
    <w:name w:val="Heading 4"/>
    <w:basedOn w:val="709"/>
    <w:next w:val="695"/>
    <w:link w:val="707"/>
    <w:uiPriority w:val="9"/>
    <w:unhideWhenUsed/>
    <w:qFormat/>
    <w:pPr>
      <w:numPr>
        <w:ilvl w:val="3"/>
        <w:numId w:val="2"/>
      </w:numPr>
      <w:tabs>
        <w:tab w:val="left" w:pos="1701" w:leader="none"/>
      </w:tabs>
      <w:outlineLvl w:val="3"/>
    </w:pPr>
  </w:style>
  <w:style w:type="paragraph" w:styleId="700">
    <w:name w:val="Heading 5"/>
    <w:basedOn w:val="695"/>
    <w:next w:val="695"/>
    <w:link w:val="708"/>
    <w:uiPriority w:val="9"/>
    <w:unhideWhenUsed/>
    <w:qFormat/>
    <w:pPr>
      <w:numPr>
        <w:ilvl w:val="4"/>
        <w:numId w:val="2"/>
      </w:num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6"/>
    <w:uiPriority w:val="9"/>
    <w:rPr>
      <w:rFonts w:ascii="Times New Roman" w:hAnsi="Times New Roman" w:cs="Times New Roman" w:eastAsiaTheme="majorEastAsia"/>
      <w:b/>
      <w:bCs/>
    </w:rPr>
  </w:style>
  <w:style w:type="character" w:styleId="705" w:customStyle="1">
    <w:name w:val="Заголовок 2 Знак"/>
    <w:basedOn w:val="701"/>
    <w:link w:val="697"/>
    <w:uiPriority w:val="9"/>
    <w:rPr>
      <w:rFonts w:ascii="Times New Roman" w:hAnsi="Times New Roman"/>
      <w:b/>
      <w:szCs w:val="22"/>
    </w:rPr>
  </w:style>
  <w:style w:type="character" w:styleId="706" w:customStyle="1">
    <w:name w:val="Заголовок 3 Знак"/>
    <w:basedOn w:val="701"/>
    <w:link w:val="698"/>
    <w:uiPriority w:val="9"/>
    <w:rPr>
      <w:rFonts w:ascii="Times New Roman" w:hAnsi="Times New Roman"/>
      <w:b/>
      <w:szCs w:val="22"/>
    </w:rPr>
  </w:style>
  <w:style w:type="character" w:styleId="707" w:customStyle="1">
    <w:name w:val="Заголовок 4 Знак"/>
    <w:basedOn w:val="701"/>
    <w:link w:val="699"/>
    <w:uiPriority w:val="9"/>
    <w:rPr>
      <w:rFonts w:ascii="Times New Roman" w:hAnsi="Times New Roman"/>
      <w:szCs w:val="22"/>
    </w:rPr>
  </w:style>
  <w:style w:type="character" w:styleId="708" w:customStyle="1">
    <w:name w:val="Заголовок 5 Знак"/>
    <w:basedOn w:val="701"/>
    <w:link w:val="700"/>
    <w:uiPriority w:val="9"/>
    <w:rPr>
      <w:rFonts w:asciiTheme="majorHAnsi" w:hAnsiTheme="majorHAnsi" w:eastAsiaTheme="majorEastAsia" w:cstheme="majorBidi"/>
      <w:color w:val="1f3763" w:themeColor="accent1" w:themeShade="7F"/>
      <w:szCs w:val="22"/>
    </w:rPr>
  </w:style>
  <w:style w:type="paragraph" w:styleId="709">
    <w:name w:val="List Paragraph"/>
    <w:basedOn w:val="695"/>
    <w:uiPriority w:val="34"/>
    <w:qFormat/>
    <w:pPr>
      <w:contextualSpacing/>
      <w:ind w:left="720"/>
    </w:pPr>
  </w:style>
  <w:style w:type="paragraph" w:styleId="710" w:customStyle="1">
    <w:name w:val="Простой текст"/>
    <w:basedOn w:val="695"/>
    <w:qFormat/>
  </w:style>
  <w:style w:type="paragraph" w:styleId="711" w:customStyle="1">
    <w:name w:val="Содержание"/>
    <w:basedOn w:val="710"/>
    <w:qFormat/>
    <w:pPr>
      <w:ind w:firstLine="0"/>
      <w:jc w:val="center"/>
      <w:pageBreakBefore/>
    </w:pPr>
    <w:rPr>
      <w:b/>
    </w:rPr>
  </w:style>
  <w:style w:type="paragraph" w:styleId="712" w:customStyle="1">
    <w:name w:val="Список 1 уровня"/>
    <w:basedOn w:val="710"/>
    <w:qFormat/>
    <w:pPr>
      <w:numPr>
        <w:ilvl w:val="0"/>
        <w:numId w:val="1"/>
      </w:numPr>
      <w:tabs>
        <w:tab w:val="left" w:pos="1134" w:leader="none"/>
      </w:tabs>
    </w:pPr>
  </w:style>
  <w:style w:type="paragraph" w:styleId="713">
    <w:name w:val="toc 3"/>
    <w:basedOn w:val="695"/>
    <w:next w:val="695"/>
    <w:uiPriority w:val="39"/>
    <w:unhideWhenUsed/>
    <w:pPr>
      <w:ind w:left="566" w:firstLine="0"/>
      <w:jc w:val="left"/>
      <w:tabs>
        <w:tab w:val="left" w:pos="1320" w:leader="none"/>
        <w:tab w:val="right" w:pos="9345" w:leader="dot"/>
      </w:tabs>
    </w:pPr>
    <w:rPr>
      <w:rFonts w:cs="Times New Roman"/>
      <w:color w:val="000000" w:themeColor="text1"/>
    </w:rPr>
  </w:style>
  <w:style w:type="paragraph" w:styleId="714">
    <w:name w:val="toc 2"/>
    <w:basedOn w:val="695"/>
    <w:next w:val="695"/>
    <w:uiPriority w:val="39"/>
    <w:unhideWhenUsed/>
    <w:pPr>
      <w:ind w:left="284" w:firstLine="0"/>
    </w:pPr>
  </w:style>
  <w:style w:type="paragraph" w:styleId="715">
    <w:name w:val="toc 1"/>
    <w:basedOn w:val="695"/>
    <w:next w:val="695"/>
    <w:uiPriority w:val="39"/>
    <w:unhideWhenUsed/>
    <w:pPr>
      <w:ind w:firstLine="0"/>
      <w:tabs>
        <w:tab w:val="left" w:pos="566" w:leader="none"/>
        <w:tab w:val="right" w:pos="9345" w:leader="dot"/>
      </w:tabs>
    </w:pPr>
  </w:style>
  <w:style w:type="paragraph" w:styleId="716" w:customStyle="1">
    <w:name w:val="Титульный лист"/>
    <w:basedOn w:val="695"/>
    <w:qFormat/>
    <w:pPr>
      <w:ind w:firstLine="0"/>
      <w:jc w:val="center"/>
    </w:pPr>
    <w:rPr>
      <w:rFonts w:eastAsia="Times New Roman"/>
      <w:b/>
      <w:sz w:val="36"/>
      <w:szCs w:val="36"/>
    </w:rPr>
  </w:style>
  <w:style w:type="character" w:styleId="717">
    <w:name w:val="Hyperlink"/>
    <w:basedOn w:val="701"/>
    <w:uiPriority w:val="99"/>
    <w:unhideWhenUsed/>
    <w:rPr>
      <w:color w:val="0563c1" w:themeColor="hyperlink"/>
      <w:u w:val="single"/>
    </w:rPr>
  </w:style>
  <w:style w:type="paragraph" w:styleId="718">
    <w:name w:val="Header"/>
    <w:basedOn w:val="695"/>
    <w:link w:val="71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19" w:customStyle="1">
    <w:name w:val="Верхний колонтитул Знак"/>
    <w:basedOn w:val="701"/>
    <w:link w:val="718"/>
    <w:uiPriority w:val="99"/>
    <w:rPr>
      <w:rFonts w:ascii="Times New Roman" w:hAnsi="Times New Roman"/>
      <w:szCs w:val="22"/>
    </w:rPr>
  </w:style>
  <w:style w:type="paragraph" w:styleId="720">
    <w:name w:val="Normal (Web)"/>
    <w:basedOn w:val="695"/>
    <w:uiPriority w:val="99"/>
    <w:unhideWhenUsed/>
    <w:qFormat/>
    <w:pPr>
      <w:ind w:firstLine="0"/>
      <w:jc w:val="left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721">
    <w:name w:val="TOC Heading"/>
    <w:basedOn w:val="696"/>
    <w:next w:val="695"/>
    <w:uiPriority w:val="39"/>
    <w:unhideWhenUsed/>
    <w:qFormat/>
    <w:pPr>
      <w:numPr>
        <w:ilvl w:val="0"/>
        <w:numId w:val="0"/>
      </w:numPr>
      <w:jc w:val="left"/>
      <w:pageBreakBefore w:val="0"/>
      <w:spacing w:before="240" w:after="0" w:line="259" w:lineRule="auto"/>
      <w:tabs>
        <w:tab w:val="clear" w:pos="1134" w:leader="none"/>
      </w:tabs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Калина Басырова</cp:lastModifiedBy>
  <cp:revision>14</cp:revision>
  <dcterms:created xsi:type="dcterms:W3CDTF">2025-02-14T14:27:00Z</dcterms:created>
  <dcterms:modified xsi:type="dcterms:W3CDTF">2025-04-15T06:20:37Z</dcterms:modified>
</cp:coreProperties>
</file>